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B9130C" w:rsidP="00167294" w14:paraId="47A2F814" w14:textId="5213ED0F">
      <w:pPr>
        <w:pStyle w:val="NoSpacing"/>
        <w:spacing w:before="0"/>
        <w:jc w:val="center"/>
        <w:rPr>
          <w:b/>
        </w:rPr>
      </w:pPr>
    </w:p>
    <w:p w:rsidR="00B9130C" w:rsidP="00167294" w14:paraId="617A3176" w14:textId="77777777">
      <w:pPr>
        <w:pStyle w:val="NoSpacing"/>
        <w:jc w:val="center"/>
        <w:rPr>
          <w:b/>
        </w:rPr>
      </w:pPr>
    </w:p>
    <w:p w:rsidR="00E0729D" w:rsidP="00167294" w14:paraId="7B4928A9" w14:textId="77777777">
      <w:pPr>
        <w:pStyle w:val="NoSpacing"/>
        <w:jc w:val="center"/>
        <w:rPr>
          <w:b/>
        </w:rPr>
      </w:pPr>
    </w:p>
    <w:p w:rsidR="00167294" w:rsidRPr="00AA576B" w:rsidP="00167294" w14:paraId="039103F1" w14:textId="4C87AE2D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167294" w:rsidRPr="00FF1DD2" w:rsidP="00167294" w14:paraId="6D50D78A" w14:textId="1F217F0A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14</w:t>
      </w:r>
      <w:r w:rsidRPr="00FF1DD2">
        <w:rPr>
          <w:b/>
          <w:color w:val="FF0000"/>
        </w:rPr>
        <w:t xml:space="preserve">.Hafta </w:t>
      </w:r>
    </w:p>
    <w:p w:rsidR="00167294" w:rsidP="00167294" w14:paraId="5169C2AA" w14:textId="0EDEF515">
      <w:pPr>
        <w:pStyle w:val="NoSpacing"/>
        <w:jc w:val="center"/>
        <w:rPr>
          <w:b/>
        </w:rPr>
      </w:pPr>
      <w:r>
        <w:rPr>
          <w:b/>
        </w:rPr>
        <w:t>(</w:t>
      </w:r>
      <w:r w:rsidR="000B3985">
        <w:rPr>
          <w:b/>
        </w:rPr>
        <w:t>21-25</w:t>
      </w:r>
      <w:r>
        <w:rPr>
          <w:b/>
        </w:rPr>
        <w:t xml:space="preserve"> ARALIK</w:t>
      </w:r>
      <w:r w:rsidR="000B3985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A21BED" w:rsidP="00167294" w14:paraId="3996CED4" w14:textId="698979CC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1114984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1739C" w:rsidRPr="00BF4032" w:rsidP="00DF445B" w14:paraId="18C538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ABF7F99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F3E2A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3EE185B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CD414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1F271E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2D2BD260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F8ED2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05404B6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C363D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MADDEYİ TANIYALIM, KARIŞTIRIP AYIRALIM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0E98DF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19D2203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6D64F56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05327D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P="00DF445B" w14:paraId="4236ED3E" w14:textId="1C2F7EE1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Maddenin Katı, Sıvı ve Gaz Hâli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 (1 saat)</w:t>
            </w:r>
          </w:p>
          <w:p w:rsidR="0041739C" w:rsidRPr="0041739C" w:rsidP="0041739C" w14:paraId="7CFCBC72" w14:textId="7E43819A">
            <w:pPr>
              <w:pStyle w:val="Pa20"/>
              <w:spacing w:after="40"/>
              <w:rPr>
                <w:rFonts w:cs="Barlow"/>
                <w:color w:val="000000"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Karışımlar ve Karışımların Ayrılması</w:t>
            </w:r>
            <w:r>
              <w:rPr>
                <w:rFonts w:cs="Barlow"/>
                <w:color w:val="000000"/>
                <w:sz w:val="20"/>
                <w:szCs w:val="20"/>
              </w:rPr>
              <w:t xml:space="preserve"> </w:t>
            </w:r>
            <w:r w:rsidRPr="0041739C">
              <w:rPr>
                <w:rFonts w:cs="Barlow"/>
                <w:b/>
                <w:color w:val="FF0000"/>
                <w:sz w:val="20"/>
                <w:szCs w:val="20"/>
              </w:rPr>
              <w:t>(2 saat)</w:t>
            </w:r>
          </w:p>
        </w:tc>
      </w:tr>
      <w:tr w14:paraId="1ECCC028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6AE5B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15285" w:rsidP="00DF445B" w14:paraId="4A00CA7A" w14:textId="138469A4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FB.3.4.1. Çevresindeki maddeleri hâllerine göre sınıflandırabilme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(1 saat)</w:t>
            </w:r>
          </w:p>
          <w:p w:rsidR="0041739C" w:rsidRPr="0041739C" w:rsidP="0041739C" w14:paraId="6EF34D1C" w14:textId="2770CA15">
            <w:pPr>
              <w:pStyle w:val="Pa20"/>
              <w:spacing w:after="40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b/>
                <w:sz w:val="20"/>
                <w:szCs w:val="20"/>
              </w:rPr>
              <w:t xml:space="preserve">FB.3.4.2. Günlük yaşamda karşılaştığı karışımların ayrılmasında kullanılabilecek uygun yöntemleri kullanarak deney yapabilme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(2 saat)</w:t>
            </w:r>
          </w:p>
          <w:p w:rsidR="0041739C" w:rsidRPr="0041739C" w:rsidP="0041739C" w14:paraId="06E22DDA" w14:textId="77777777">
            <w:pPr>
              <w:pStyle w:val="Pa27"/>
              <w:spacing w:after="40"/>
              <w:rPr>
                <w:rFonts w:ascii="Arial Narrow" w:hAnsi="Arial Narrow" w:cs="Tahoma"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sz w:val="20"/>
                <w:szCs w:val="20"/>
              </w:rPr>
              <w:t xml:space="preserve">a) Karışımların ayrılmasında kullanılabilecek yöntemlerle ilgili deney tasarlar. </w:t>
            </w:r>
          </w:p>
          <w:p w:rsidR="0041739C" w:rsidRPr="00BF4032" w:rsidP="0041739C" w14:paraId="1DC80DF9" w14:textId="2B2221A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Karışımların ayrılmasına ilişkin deney sonucu ile hipotezi arasında uyumsuzluk olduğunda deneyini tekrar eder ve/veya hipotezini yeniler.</w:t>
            </w:r>
            <w:r>
              <w:rPr>
                <w:rFonts w:cs="Barlow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14:paraId="5E961CF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2FF488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33620D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4FFAF23A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3FE2E3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7E459F3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43E8D80A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1739C" w:rsidRPr="00BF4032" w:rsidP="00DF445B" w14:paraId="692B79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AAE578A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6B4D5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727B99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SDB1.2. Kendini Düzenleme (Öz Düzenleme), SDB2.2. İş Birliği, SDB3.3. Sorumlu Karar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C363D0">
              <w:rPr>
                <w:rFonts w:ascii="Arial Narrow" w:hAnsi="Arial Narrow" w:cs="Tahoma"/>
                <w:sz w:val="20"/>
                <w:szCs w:val="20"/>
              </w:rPr>
              <w:t>Verme</w:t>
            </w:r>
          </w:p>
        </w:tc>
      </w:tr>
      <w:tr w14:paraId="5B46507D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D6106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E4EACC1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D5. Duyarlılık, D12. Sabır, D16. Sorumluluk, D17. Tasarruf, D18. Temizlik</w:t>
            </w:r>
          </w:p>
        </w:tc>
      </w:tr>
      <w:tr w14:paraId="3C4A5698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338AA6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91A98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OB8. Sürdürülebilirlik Okuryazarlığı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</w:p>
        </w:tc>
      </w:tr>
      <w:tr w14:paraId="7003ADA8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0AE8D8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15285" w:rsidP="00DF445B" w14:paraId="21CDBF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Öğrenme çıktılarının değerlendirilmesinde grup değerlendirme formu, V diyagramı, performans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Maddenin hâlleri keşfetme sürecinde oluşturulan grupların çalışmalarını değerlendirmek</w:t>
            </w:r>
          </w:p>
          <w:p w:rsidR="0041739C" w:rsidRPr="00BF4032" w:rsidP="00DF445B" w14:paraId="6D2999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için grup değerlendirme formu kullanılabilir. Karışımların ayrılmasına yönelik yapılan deney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çalışmasındaki süreçleri değerlendirmek için V Diyagramı kullanılabilir. Öğrencilere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atıkların ayrıştırılması için oluşturdukları problemin çözümüne yönelik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verilebilir. Tüm bu çalışmalar öğrencinin ürün dosyasına eklenebilir.</w:t>
            </w:r>
          </w:p>
        </w:tc>
      </w:tr>
      <w:tr w14:paraId="58FD7D57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829F0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5C0222C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katı, sıvı, gaz, karışım, eleme, süzme, dinlendirme, yüzdürme, mıknatısla ayırma, atık,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ayrıştırma</w:t>
            </w:r>
          </w:p>
        </w:tc>
      </w:tr>
      <w:tr w14:paraId="16FF8F9E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1739C" w:rsidRPr="00BF4032" w:rsidP="00DF445B" w14:paraId="0FBE6A45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0C16AA1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65355CD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4B387A8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farklı nesnelerin niteliklerini (sertlik, yumuşaklık, esneklik, kırılganlık, renk,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koku, tat, pürüzlü ve az pürüzlü) tahmin etmelerine yönelik etkinlik yaptırılabilir.</w:t>
            </w:r>
          </w:p>
        </w:tc>
      </w:tr>
      <w:tr w14:paraId="4B320A73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272477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3D01DCDA" w14:textId="38AF2DF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106-117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373629" w:rsidP="0041739C" w14:paraId="0876C7B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deney yapması için kullanabilecekleri malzemeler önceden hazırlanır. Öğrencilere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farklı karışım örnekleri (demir tozu-talaş, talaş-su, su-kum-nohut, pirinç-toprak-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tuz, su-zeytinyağı-nohut, toprak-su vb.) verilebilir. </w:t>
            </w:r>
          </w:p>
          <w:p w:rsidR="00373629" w:rsidP="0041739C" w14:paraId="16266F6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Karışımı oluşturan maddelerin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nasıl ayrıştırılabileceğine ilişkin hipotez kurmaları istenir. Uygun yöntemleri kullanarak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(eleme, süzme, dinlendirme, yüzdürme ve mıknatısla ayırma) karışımları ayırmak için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deney tasarlamaları sağlanır (E3.4, SDB1.2). </w:t>
            </w:r>
          </w:p>
          <w:p w:rsidR="0041739C" w:rsidRPr="0041739C" w:rsidP="0041739C" w14:paraId="2D77703C" w14:textId="5A91DBE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karışımlarla çalışırken güvenlik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önlemlerini almaları konusunda gerekli açıklamalar yapılarak sorumluluk verilir (SDB3.3,</w:t>
            </w:r>
          </w:p>
          <w:p w:rsidR="0041739C" w:rsidRPr="0041739C" w:rsidP="0041739C" w14:paraId="1CBAF4D3" w14:textId="38BF4302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Karışımların ayrılmasına ilişkin deney sonucu ile hipotezi arasında uyumsuzluk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olduğunda öğrencilerden deneyi tekrar etmeleri ve/veya hipotezi yenilemeleri beklenir</w:t>
            </w:r>
          </w:p>
          <w:p w:rsidR="00373629" w:rsidP="0041739C" w14:paraId="272B13A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deney sonucuna ilişkin gözlemlerini değerlendirirken çözüm odaklı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 w:rsid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düşünmel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eri için yönlendirilir </w:t>
            </w:r>
          </w:p>
          <w:p w:rsidR="0041739C" w:rsidRPr="00BF4032" w:rsidP="00373629" w14:paraId="749D2219" w14:textId="74DBC63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Karışımların ayrılmasına yönelik yapılan deney çalışmasındaki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süreçleri değerlendirmek için V Diyagramı kullanılabilir (E3.7).</w:t>
            </w:r>
          </w:p>
        </w:tc>
      </w:tr>
      <w:tr w14:paraId="5CD945B5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1739C" w:rsidRPr="00BF4032" w:rsidP="00DF445B" w14:paraId="59C7B0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576117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165423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373629" w:rsidP="00373629" w14:paraId="216CC285" w14:textId="0A13904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İçme suyu, atık su arıtma veya geri dönüşüm tesislerini araştırmaları istenebilir ve/veya bu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tesislere geziler düzenlenebilir.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Sürdürülebilirliğin sağlanabilmesi için atık yönetiminin önemi konusunda farkındalık kazanmaları</w:t>
            </w:r>
          </w:p>
          <w:p w:rsidR="0041739C" w:rsidRPr="00BF4032" w:rsidP="00373629" w14:paraId="34ED0F70" w14:textId="646F210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için gezi, gözlem ya da araştırmaya yönlendirilebilir.</w:t>
            </w:r>
          </w:p>
        </w:tc>
      </w:tr>
      <w:tr w14:paraId="1279344A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41739C" w:rsidRPr="00BF4032" w:rsidP="00DF445B" w14:paraId="1D8974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1739C" w:rsidRPr="007077C4" w:rsidP="00DF445B" w14:paraId="3D4EC8C6" w14:textId="36E44527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Hurdalıklarda metallerin nasıl ayrıştırıldığına dair görseller paylaşılabilir.</w:t>
            </w:r>
          </w:p>
        </w:tc>
      </w:tr>
    </w:tbl>
    <w:p w:rsidR="00A21BED" w:rsidRPr="00AA576B" w:rsidP="00167294" w14:paraId="5A127EB2" w14:textId="77777777">
      <w:pPr>
        <w:pStyle w:val="NoSpacing"/>
        <w:jc w:val="center"/>
        <w:rPr>
          <w:b/>
        </w:rPr>
      </w:pPr>
    </w:p>
    <w:p w:rsidR="00167294" w:rsidP="00167294" w14:paraId="615DE592" w14:textId="77777777">
      <w:pPr>
        <w:pStyle w:val="NoSpacing"/>
        <w:jc w:val="center"/>
      </w:pPr>
    </w:p>
    <w:p w:rsidR="00167294" w:rsidP="00167294" w14:paraId="123E9FDD" w14:textId="658D55B9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8156575</wp:posOffset>
                </wp:positionV>
                <wp:extent cx="3825240" cy="120396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62" name="Dikdörtgen 62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E0729D" w14:paraId="3DFAA948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675249" w:rsidRPr="007F30E0" w:rsidP="00E0729D" w14:paraId="1033C573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675249" w:rsidRPr="007F30E0" w:rsidP="00E0729D" w14:paraId="74D9C21B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675249" w:rsidRPr="007F30E0" w:rsidP="00E0729D" w14:paraId="51B8F20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675249" w:rsidRPr="007F30E0" w:rsidP="00E0729D" w14:paraId="59343DE7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63" name="Dikdörtgen 63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E0729D" w14:paraId="2604351E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564682117" name="Resim 1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564682117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75249" w:rsidRPr="007F30E0" w:rsidP="00E0729D" w14:paraId="790E848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61" o:spid="_x0000_s1025" style="width:301.2pt;height:94.8pt;margin-top:642.25pt;margin-left:240.6pt;mso-height-relative:margin;mso-width-relative:margin;position:absolute;z-index:251659264" coordsize="38252,12039">
                <v:rect id="Dikdörtgen 62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675249" w:rsidRPr="007F30E0" w:rsidP="00E0729D" w14:paraId="2B596DE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675249" w:rsidRPr="007F30E0" w:rsidP="00E0729D" w14:paraId="20D9B5A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675249" w:rsidRPr="007F30E0" w:rsidP="00E0729D" w14:paraId="5B1A516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675249" w:rsidRPr="007F30E0" w:rsidP="00E0729D" w14:paraId="1BB1F426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675249" w:rsidRPr="007F30E0" w:rsidP="00E0729D" w14:paraId="14F028D4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63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675249" w:rsidRPr="007F30E0" w:rsidP="00E0729D" w14:paraId="2BAA226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46" name="Resim 1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6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675249" w:rsidRPr="007F30E0" w:rsidP="00E0729D" w14:paraId="38F58F5F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67294" w:rsidP="00167294" w14:paraId="07879BCF" w14:textId="7677FE02">
      <w:pPr>
        <w:pStyle w:val="NoSpacing"/>
        <w:rPr>
          <w:sz w:val="20"/>
          <w:szCs w:val="20"/>
        </w:rPr>
      </w:pPr>
    </w:p>
    <w:p w:rsidR="00E0729D" w:rsidP="00D02298" w14:paraId="4D15A874" w14:textId="4C94A172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41739C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